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EA" w:rsidRDefault="003547EA" w:rsidP="005670E5">
      <w:pPr>
        <w:pStyle w:val="Heading1"/>
        <w:rPr>
          <w:rStyle w:val="pdb-article-teaser-breadcrumb-headline-title"/>
          <w:sz w:val="24"/>
          <w:szCs w:val="24"/>
        </w:rPr>
      </w:pPr>
      <w:r>
        <w:rPr>
          <w:rStyle w:val="pdb-article-teaser-breadcrumb-headline-title"/>
          <w:sz w:val="24"/>
          <w:szCs w:val="24"/>
        </w:rPr>
        <w:t xml:space="preserve">        Großbritanniens Beschlagnahmung des iranischen Tankers vor Gibraltar </w:t>
      </w:r>
    </w:p>
    <w:p w:rsidR="003547EA" w:rsidRDefault="003547EA" w:rsidP="005670E5">
      <w:pPr>
        <w:pStyle w:val="Heading1"/>
        <w:rPr>
          <w:rStyle w:val="pdb-article-teaser-breadcrumb-headline-title"/>
          <w:sz w:val="24"/>
          <w:szCs w:val="24"/>
        </w:rPr>
      </w:pPr>
      <w:r>
        <w:rPr>
          <w:rStyle w:val="pdb-article-teaser-breadcrumb-headline-title"/>
          <w:sz w:val="24"/>
          <w:szCs w:val="24"/>
        </w:rPr>
        <w:t xml:space="preserve">                                völkerrechtswidrig &gt; </w:t>
      </w:r>
      <w:r w:rsidRPr="005670E5">
        <w:rPr>
          <w:rStyle w:val="pdb-article-teaser-breadcrumb-headline-title"/>
          <w:sz w:val="24"/>
          <w:szCs w:val="24"/>
        </w:rPr>
        <w:t>Bundestagsgutachten</w:t>
      </w:r>
    </w:p>
    <w:p w:rsidR="003547EA" w:rsidRPr="00B348D3" w:rsidRDefault="003547EA" w:rsidP="00B348D3">
      <w:pPr>
        <w:pStyle w:val="NormalWeb"/>
      </w:pPr>
      <w:r>
        <w:rPr>
          <w:rStyle w:val="pdb-article-teaser-breadcrumb-headline-title"/>
        </w:rPr>
        <w:t xml:space="preserve">                                                </w:t>
      </w:r>
      <w:r w:rsidRPr="00B348D3">
        <w:rPr>
          <w:rStyle w:val="Emphasis"/>
          <w:i w:val="0"/>
          <w:iCs w:val="0"/>
        </w:rPr>
        <w:t>von Jörg Köpke/RND</w:t>
      </w:r>
    </w:p>
    <w:p w:rsidR="003547EA" w:rsidRPr="005670E5" w:rsidRDefault="003547EA" w:rsidP="005670E5">
      <w:pPr>
        <w:pStyle w:val="NormalWeb"/>
      </w:pPr>
      <w:r w:rsidRPr="005670E5">
        <w:t>Die wochenlange Festsetzung des iranischen Tankers „Grace 1“ vor Gibraltar war völkerrechtswidrig. Zu diesem Schluss kommt ein Gutachten des Wissenschaftlichen Dienstes des Bundestages.</w:t>
      </w:r>
    </w:p>
    <w:p w:rsidR="003547EA" w:rsidRPr="005670E5" w:rsidRDefault="003547EA" w:rsidP="005670E5">
      <w:pPr>
        <w:pStyle w:val="NormalWeb"/>
      </w:pPr>
      <w:r w:rsidRPr="005670E5">
        <w:t xml:space="preserve">Die </w:t>
      </w:r>
      <w:hyperlink r:id="rId4" w:tgtFrame="_blank" w:history="1">
        <w:r w:rsidRPr="005670E5">
          <w:rPr>
            <w:rStyle w:val="Hyperlink"/>
          </w:rPr>
          <w:t>wochenlange Festsetzung des iranischen Tankers „Grace 1“ vor Gibraltar</w:t>
        </w:r>
      </w:hyperlink>
      <w:r w:rsidRPr="005670E5">
        <w:t xml:space="preserve"> war völkerrechtswidrig. Die </w:t>
      </w:r>
      <w:r w:rsidRPr="005670E5">
        <w:rPr>
          <w:rStyle w:val="rtr-schema-org"/>
        </w:rPr>
        <w:t>Beschlagnahmung</w:t>
      </w:r>
      <w:r w:rsidRPr="005670E5">
        <w:t xml:space="preserve"> des Schiffes am 4. Juli durch britische Marinekommandos in der Straße von </w:t>
      </w:r>
      <w:r w:rsidRPr="005670E5">
        <w:rPr>
          <w:rStyle w:val="rtr-schema-org"/>
        </w:rPr>
        <w:t>Gibraltar</w:t>
      </w:r>
      <w:r w:rsidRPr="005670E5">
        <w:t xml:space="preserve"> finde „keine Rechtsgrundlage im Seevölkerrecht“, heißt es in einem Gutachten des Wissenschaftlichen Dienstes des </w:t>
      </w:r>
      <w:r w:rsidRPr="005670E5">
        <w:rPr>
          <w:rStyle w:val="rtr-schema-org"/>
        </w:rPr>
        <w:t>Bundestages</w:t>
      </w:r>
      <w:r w:rsidRPr="005670E5">
        <w:t xml:space="preserve">, das dem </w:t>
      </w:r>
      <w:r w:rsidRPr="005670E5">
        <w:rPr>
          <w:rStyle w:val="rtr-schema-org"/>
        </w:rPr>
        <w:t>RedaktionsNetzwerk Deutschland</w:t>
      </w:r>
      <w:r w:rsidRPr="005670E5">
        <w:t xml:space="preserve"> (RND/Sonntag) vorliegt.</w:t>
      </w:r>
    </w:p>
    <w:p w:rsidR="003547EA" w:rsidRPr="005670E5" w:rsidRDefault="003547EA" w:rsidP="005670E5">
      <w:pPr>
        <w:pStyle w:val="Heading2"/>
        <w:rPr>
          <w:sz w:val="24"/>
          <w:szCs w:val="24"/>
        </w:rPr>
      </w:pPr>
      <w:r w:rsidRPr="005670E5">
        <w:rPr>
          <w:sz w:val="24"/>
          <w:szCs w:val="24"/>
        </w:rPr>
        <w:t xml:space="preserve">War das Öl für </w:t>
      </w:r>
      <w:r w:rsidRPr="005670E5">
        <w:rPr>
          <w:rStyle w:val="rtr-schema-org"/>
          <w:sz w:val="24"/>
          <w:szCs w:val="24"/>
        </w:rPr>
        <w:t>Syrien</w:t>
      </w:r>
      <w:r w:rsidRPr="005670E5">
        <w:rPr>
          <w:sz w:val="24"/>
          <w:szCs w:val="24"/>
        </w:rPr>
        <w:t xml:space="preserve"> bestimmt?</w:t>
      </w:r>
    </w:p>
    <w:p w:rsidR="003547EA" w:rsidRPr="005670E5" w:rsidRDefault="003547EA" w:rsidP="005670E5">
      <w:pPr>
        <w:pStyle w:val="NormalWeb"/>
      </w:pPr>
      <w:r w:rsidRPr="005670E5">
        <w:t xml:space="preserve">Die Untersuchung im Auftrag der Linken-Bundestagsfraktion kommt zu dem Schluss, dass die Durchsetzung von EU-Sanktionen nicht über internationalem Recht steht und somit auch die von der </w:t>
      </w:r>
      <w:r w:rsidRPr="005670E5">
        <w:rPr>
          <w:rStyle w:val="rtr-schema-org"/>
        </w:rPr>
        <w:t>Bundesregierung</w:t>
      </w:r>
      <w:r w:rsidRPr="005670E5">
        <w:t xml:space="preserve"> getragene Begründung der britischen Regierung für die </w:t>
      </w:r>
      <w:r w:rsidRPr="005670E5">
        <w:rPr>
          <w:rStyle w:val="rtr-schema-org"/>
        </w:rPr>
        <w:t>Festsetzung</w:t>
      </w:r>
      <w:r w:rsidRPr="005670E5">
        <w:t xml:space="preserve"> nicht rechtens war. „Maßnahmen auf der Grundlage des EU-Sanktionsregimes sind insofern nur statthaft, als sie auch mit den einschlägigen völkerrechtlichen Rahmenvorgaben vereinbar sind“, heißt es in dem Gutachten. Am Donnerstag hatten die Behörden von </w:t>
      </w:r>
      <w:r w:rsidRPr="005670E5">
        <w:rPr>
          <w:rStyle w:val="rtr-schema-org"/>
        </w:rPr>
        <w:t>Gibraltar</w:t>
      </w:r>
      <w:r w:rsidRPr="005670E5">
        <w:t xml:space="preserve"> die </w:t>
      </w:r>
      <w:r w:rsidRPr="005670E5">
        <w:rPr>
          <w:rStyle w:val="rtr-schema-org"/>
        </w:rPr>
        <w:t>Beschlagnahmung</w:t>
      </w:r>
      <w:r w:rsidRPr="005670E5">
        <w:t xml:space="preserve"> des Schiffes mit mehr als zwei Millionen Tonnen iranischen </w:t>
      </w:r>
      <w:r w:rsidRPr="005670E5">
        <w:rPr>
          <w:rStyle w:val="rtr-schema-org"/>
        </w:rPr>
        <w:t>Rohöls</w:t>
      </w:r>
      <w:r w:rsidRPr="005670E5">
        <w:t xml:space="preserve"> aufgehoben. Die </w:t>
      </w:r>
      <w:r w:rsidRPr="005670E5">
        <w:rPr>
          <w:rStyle w:val="rtr-schema-org"/>
        </w:rPr>
        <w:t>USA</w:t>
      </w:r>
      <w:r w:rsidRPr="005670E5">
        <w:t xml:space="preserve"> blockieren jedoch nach wie vor die Weiterfahrt des </w:t>
      </w:r>
      <w:r w:rsidRPr="005670E5">
        <w:rPr>
          <w:rStyle w:val="rtr-schema-org"/>
        </w:rPr>
        <w:t>Tankers</w:t>
      </w:r>
      <w:r w:rsidRPr="005670E5">
        <w:t>. Ein Bundesgericht ordnete die Beschlagnahme des Öls an.</w:t>
      </w:r>
    </w:p>
    <w:p w:rsidR="003547EA" w:rsidRPr="005670E5" w:rsidRDefault="003547EA" w:rsidP="005670E5">
      <w:pPr>
        <w:pStyle w:val="NormalWeb"/>
      </w:pPr>
      <w:r w:rsidRPr="005670E5">
        <w:t>„Beide Akteure [</w:t>
      </w:r>
      <w:r w:rsidRPr="005670E5">
        <w:rPr>
          <w:rStyle w:val="rtr-schema-org"/>
        </w:rPr>
        <w:t>EU</w:t>
      </w:r>
      <w:r w:rsidRPr="005670E5">
        <w:t xml:space="preserve"> und </w:t>
      </w:r>
      <w:r w:rsidRPr="005670E5">
        <w:rPr>
          <w:rStyle w:val="rtr-schema-org"/>
        </w:rPr>
        <w:t>USA</w:t>
      </w:r>
      <w:r w:rsidRPr="005670E5">
        <w:t xml:space="preserve">] können sich nicht auf eine Autorisierung ihrer Sanktionen durch eine externe, übergeordnete Ebene berufen. Der Vorwurf, letztlich eigene (nationale oder regionale) Interessen zu verfolgen, steht im Raum und unterminiert die Glaubwürdigkeit des Sanktionsregimes“, heißt es in dem Gutachten weiter. </w:t>
      </w:r>
      <w:r w:rsidRPr="005670E5">
        <w:rPr>
          <w:rStyle w:val="rtr-schema-org"/>
        </w:rPr>
        <w:t>Großbritannien</w:t>
      </w:r>
      <w:r w:rsidRPr="005670E5">
        <w:t xml:space="preserve"> geht davon aus, dass das </w:t>
      </w:r>
      <w:r w:rsidRPr="005670E5">
        <w:rPr>
          <w:rStyle w:val="rtr-schema-org"/>
        </w:rPr>
        <w:t>Rohöl</w:t>
      </w:r>
      <w:r w:rsidRPr="005670E5">
        <w:t xml:space="preserve"> für </w:t>
      </w:r>
      <w:r w:rsidRPr="005670E5">
        <w:rPr>
          <w:rStyle w:val="rtr-schema-org"/>
        </w:rPr>
        <w:t>Syrien</w:t>
      </w:r>
      <w:r w:rsidRPr="005670E5">
        <w:t xml:space="preserve"> bestimmt war. Der </w:t>
      </w:r>
      <w:r w:rsidRPr="005670E5">
        <w:rPr>
          <w:rStyle w:val="rtr-schema-org"/>
        </w:rPr>
        <w:t>Iran</w:t>
      </w:r>
      <w:r w:rsidRPr="005670E5">
        <w:t xml:space="preserve"> bestreitet das.</w:t>
      </w:r>
    </w:p>
    <w:p w:rsidR="003547EA" w:rsidRPr="005670E5" w:rsidRDefault="003547EA" w:rsidP="005670E5">
      <w:pPr>
        <w:pStyle w:val="Heading2"/>
        <w:rPr>
          <w:sz w:val="24"/>
          <w:szCs w:val="24"/>
        </w:rPr>
      </w:pPr>
      <w:r w:rsidRPr="005670E5">
        <w:rPr>
          <w:sz w:val="24"/>
          <w:szCs w:val="24"/>
        </w:rPr>
        <w:t>Linke: "Auf den Boden des Völkerrechts zurückkehren"</w:t>
      </w:r>
    </w:p>
    <w:p w:rsidR="003547EA" w:rsidRPr="005670E5" w:rsidRDefault="003547EA" w:rsidP="005670E5">
      <w:pPr>
        <w:pStyle w:val="NormalWeb"/>
      </w:pPr>
      <w:r w:rsidRPr="005670E5">
        <w:t xml:space="preserve">"Die </w:t>
      </w:r>
      <w:r w:rsidRPr="005670E5">
        <w:rPr>
          <w:rStyle w:val="rtr-schema-org"/>
        </w:rPr>
        <w:t>Festsetzung</w:t>
      </w:r>
      <w:r w:rsidRPr="005670E5">
        <w:t xml:space="preserve"> des iranischen Öltankers ,Grace 1' durch </w:t>
      </w:r>
      <w:r w:rsidRPr="005670E5">
        <w:rPr>
          <w:rStyle w:val="rtr-schema-org"/>
        </w:rPr>
        <w:t>Gibraltar</w:t>
      </w:r>
      <w:r w:rsidRPr="005670E5">
        <w:t xml:space="preserve"> war mit dem Seevölkerrecht nicht vereinbar und rechtswidrig. </w:t>
      </w:r>
      <w:r w:rsidRPr="005670E5">
        <w:rPr>
          <w:rStyle w:val="rtr-schema-org"/>
        </w:rPr>
        <w:t>Die Linke</w:t>
      </w:r>
      <w:r w:rsidRPr="005670E5">
        <w:t xml:space="preserve"> begrüßt daher die Freigabe des beschlagnahmten Schiffes", erklärten </w:t>
      </w:r>
      <w:r w:rsidRPr="005670E5">
        <w:rPr>
          <w:rStyle w:val="rtr-schema-org"/>
        </w:rPr>
        <w:t>Sevim Dagdelen</w:t>
      </w:r>
      <w:r w:rsidRPr="005670E5">
        <w:t xml:space="preserve">, Vizechefin der Linken im </w:t>
      </w:r>
      <w:r w:rsidRPr="005670E5">
        <w:rPr>
          <w:rStyle w:val="rtr-schema-org"/>
        </w:rPr>
        <w:t>Bundestag</w:t>
      </w:r>
      <w:r w:rsidRPr="005670E5">
        <w:t xml:space="preserve">, sowie </w:t>
      </w:r>
      <w:r w:rsidRPr="005670E5">
        <w:rPr>
          <w:rStyle w:val="rtr-schema-org"/>
        </w:rPr>
        <w:t>Andrej Hunko</w:t>
      </w:r>
      <w:r w:rsidRPr="005670E5">
        <w:t>, europapolitischer Sprecher der Fraktion.</w:t>
      </w:r>
    </w:p>
    <w:p w:rsidR="003547EA" w:rsidRPr="005670E5" w:rsidRDefault="003547EA" w:rsidP="005670E5">
      <w:pPr>
        <w:pStyle w:val="NormalWeb"/>
      </w:pPr>
      <w:r w:rsidRPr="005670E5">
        <w:t xml:space="preserve">Das Gutachten zeige, „dass es seitens der </w:t>
      </w:r>
      <w:r w:rsidRPr="005670E5">
        <w:rPr>
          <w:rStyle w:val="rtr-schema-org"/>
        </w:rPr>
        <w:t>Bundesregierung</w:t>
      </w:r>
      <w:r w:rsidRPr="005670E5">
        <w:t xml:space="preserve"> grob fahrlässig war, der britischen Rechtsauffassung hinsichtlich einer angeblich legalen </w:t>
      </w:r>
      <w:r w:rsidRPr="005670E5">
        <w:rPr>
          <w:rStyle w:val="rtr-schema-org"/>
        </w:rPr>
        <w:t>Festsetzung</w:t>
      </w:r>
      <w:r w:rsidRPr="005670E5">
        <w:t xml:space="preserve"> des iranischen </w:t>
      </w:r>
      <w:r w:rsidRPr="005670E5">
        <w:rPr>
          <w:rStyle w:val="rtr-schema-org"/>
        </w:rPr>
        <w:t>Tankers</w:t>
      </w:r>
      <w:r w:rsidRPr="005670E5">
        <w:t xml:space="preserve"> zu folgen. Die Freigabe des </w:t>
      </w:r>
      <w:r w:rsidRPr="005670E5">
        <w:rPr>
          <w:rStyle w:val="rtr-schema-org"/>
        </w:rPr>
        <w:t>Tankers</w:t>
      </w:r>
      <w:r w:rsidRPr="005670E5">
        <w:t xml:space="preserve"> ist eine Bekräftigung des Völkerrechts und hoffentlich auch ein Beitrag zur Deeskalation gegenüber dem </w:t>
      </w:r>
      <w:r w:rsidRPr="005670E5">
        <w:rPr>
          <w:rStyle w:val="rtr-schema-org"/>
        </w:rPr>
        <w:t>Iran</w:t>
      </w:r>
      <w:r w:rsidRPr="005670E5">
        <w:t xml:space="preserve">“, sagte </w:t>
      </w:r>
      <w:r w:rsidRPr="005670E5">
        <w:rPr>
          <w:rStyle w:val="rtr-schema-org"/>
        </w:rPr>
        <w:t>Dagdelen</w:t>
      </w:r>
      <w:r w:rsidRPr="005670E5">
        <w:t xml:space="preserve"> dem RND. </w:t>
      </w:r>
      <w:r w:rsidRPr="005670E5">
        <w:rPr>
          <w:rStyle w:val="rtr-schema-org"/>
        </w:rPr>
        <w:t>Hunko</w:t>
      </w:r>
      <w:r w:rsidRPr="005670E5">
        <w:t xml:space="preserve"> forderte die </w:t>
      </w:r>
      <w:r w:rsidRPr="005670E5">
        <w:rPr>
          <w:rStyle w:val="rtr-schema-org"/>
        </w:rPr>
        <w:t>Bundesregierung</w:t>
      </w:r>
      <w:r w:rsidRPr="005670E5">
        <w:t xml:space="preserve"> auf, angesichts der drohenden Eskalation auch in der </w:t>
      </w:r>
      <w:r w:rsidRPr="005670E5">
        <w:rPr>
          <w:rStyle w:val="rtr-schema-org"/>
        </w:rPr>
        <w:t>Straße von Hormus</w:t>
      </w:r>
      <w:r w:rsidRPr="005670E5">
        <w:t xml:space="preserve"> "auf den Boden des Völkerrechtes" zurückzukehren.</w:t>
      </w:r>
    </w:p>
    <w:p w:rsidR="003547EA" w:rsidRPr="005670E5" w:rsidRDefault="003547EA" w:rsidP="00D95BB4">
      <w:pPr>
        <w:pStyle w:val="NormalWeb"/>
      </w:pPr>
      <w:bookmarkStart w:id="0" w:name="_GoBack"/>
      <w:bookmarkEnd w:id="0"/>
      <w:r>
        <w:rPr>
          <w:rStyle w:val="Emphasis"/>
        </w:rPr>
        <w:t>Quelle:</w:t>
      </w:r>
      <w:r w:rsidRPr="00B348D3">
        <w:t xml:space="preserve"> </w:t>
      </w:r>
      <w:hyperlink r:id="rId5" w:tgtFrame="_blank" w:history="1">
        <w:r>
          <w:rPr>
            <w:rStyle w:val="Hyperlink"/>
          </w:rPr>
          <w:t>https://www.ostsee-zeitung.de/Nachrichten/Politik/Bundestagsgutachten-Festsetzung-des-iranischen-Tankers-Grace-1-vor-Gibraltar-war-voelkerrechtswidrig</w:t>
        </w:r>
      </w:hyperlink>
    </w:p>
    <w:sectPr w:rsidR="003547EA" w:rsidRPr="005670E5" w:rsidSect="00431B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E5"/>
    <w:rsid w:val="003547EA"/>
    <w:rsid w:val="00431B9F"/>
    <w:rsid w:val="004F240F"/>
    <w:rsid w:val="005670E5"/>
    <w:rsid w:val="00B348D3"/>
    <w:rsid w:val="00D95BB4"/>
    <w:rsid w:val="00F957F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E5"/>
    <w:rPr>
      <w:rFonts w:ascii="Times New Roman" w:eastAsia="Times New Roman" w:hAnsi="Times New Roman"/>
      <w:sz w:val="24"/>
      <w:szCs w:val="24"/>
    </w:rPr>
  </w:style>
  <w:style w:type="paragraph" w:styleId="Heading1">
    <w:name w:val="heading 1"/>
    <w:basedOn w:val="Normal"/>
    <w:link w:val="Heading1Char"/>
    <w:uiPriority w:val="99"/>
    <w:qFormat/>
    <w:rsid w:val="005670E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5670E5"/>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70E5"/>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5670E5"/>
    <w:rPr>
      <w:rFonts w:ascii="Times New Roman" w:hAnsi="Times New Roman" w:cs="Times New Roman"/>
      <w:b/>
      <w:bCs/>
      <w:sz w:val="36"/>
      <w:szCs w:val="36"/>
      <w:lang w:eastAsia="de-DE"/>
    </w:rPr>
  </w:style>
  <w:style w:type="character" w:customStyle="1" w:styleId="pdb-article-teaser-breadcrumb-headline-title">
    <w:name w:val="pdb-article-teaser-breadcrumb-headline-title"/>
    <w:basedOn w:val="DefaultParagraphFont"/>
    <w:uiPriority w:val="99"/>
    <w:rsid w:val="005670E5"/>
  </w:style>
  <w:style w:type="paragraph" w:styleId="NormalWeb">
    <w:name w:val="Normal (Web)"/>
    <w:basedOn w:val="Normal"/>
    <w:uiPriority w:val="99"/>
    <w:rsid w:val="005670E5"/>
    <w:pPr>
      <w:spacing w:before="100" w:beforeAutospacing="1" w:after="100" w:afterAutospacing="1"/>
    </w:pPr>
  </w:style>
  <w:style w:type="character" w:customStyle="1" w:styleId="pdb-article-caption-copyright">
    <w:name w:val="pdb-article-caption-copyright"/>
    <w:basedOn w:val="DefaultParagraphFont"/>
    <w:uiPriority w:val="99"/>
    <w:rsid w:val="005670E5"/>
  </w:style>
  <w:style w:type="character" w:customStyle="1" w:styleId="pdb-article-body-locationlabel">
    <w:name w:val="pdb-article-body-locationlabel"/>
    <w:basedOn w:val="DefaultParagraphFont"/>
    <w:uiPriority w:val="99"/>
    <w:rsid w:val="005670E5"/>
  </w:style>
  <w:style w:type="character" w:styleId="Hyperlink">
    <w:name w:val="Hyperlink"/>
    <w:basedOn w:val="DefaultParagraphFont"/>
    <w:uiPriority w:val="99"/>
    <w:semiHidden/>
    <w:rsid w:val="005670E5"/>
    <w:rPr>
      <w:color w:val="0000FF"/>
      <w:u w:val="single"/>
    </w:rPr>
  </w:style>
  <w:style w:type="character" w:customStyle="1" w:styleId="rtr-schema-org">
    <w:name w:val="rtr-schema-org"/>
    <w:basedOn w:val="DefaultParagraphFont"/>
    <w:uiPriority w:val="99"/>
    <w:rsid w:val="005670E5"/>
  </w:style>
  <w:style w:type="character" w:styleId="Emphasis">
    <w:name w:val="Emphasis"/>
    <w:basedOn w:val="DefaultParagraphFont"/>
    <w:uiPriority w:val="99"/>
    <w:qFormat/>
    <w:rsid w:val="005670E5"/>
    <w:rPr>
      <w:i/>
      <w:iCs/>
    </w:rPr>
  </w:style>
</w:styles>
</file>

<file path=word/webSettings.xml><?xml version="1.0" encoding="utf-8"?>
<w:webSettings xmlns:r="http://schemas.openxmlformats.org/officeDocument/2006/relationships" xmlns:w="http://schemas.openxmlformats.org/wordprocessingml/2006/main">
  <w:divs>
    <w:div w:id="843982703">
      <w:marLeft w:val="0"/>
      <w:marRight w:val="0"/>
      <w:marTop w:val="0"/>
      <w:marBottom w:val="0"/>
      <w:divBdr>
        <w:top w:val="none" w:sz="0" w:space="0" w:color="auto"/>
        <w:left w:val="none" w:sz="0" w:space="0" w:color="auto"/>
        <w:bottom w:val="none" w:sz="0" w:space="0" w:color="auto"/>
        <w:right w:val="none" w:sz="0" w:space="0" w:color="auto"/>
      </w:divBdr>
      <w:divsChild>
        <w:div w:id="843982706">
          <w:marLeft w:val="0"/>
          <w:marRight w:val="0"/>
          <w:marTop w:val="0"/>
          <w:marBottom w:val="0"/>
          <w:divBdr>
            <w:top w:val="none" w:sz="0" w:space="0" w:color="auto"/>
            <w:left w:val="none" w:sz="0" w:space="0" w:color="auto"/>
            <w:bottom w:val="none" w:sz="0" w:space="0" w:color="auto"/>
            <w:right w:val="none" w:sz="0" w:space="0" w:color="auto"/>
          </w:divBdr>
          <w:divsChild>
            <w:div w:id="843982712">
              <w:marLeft w:val="0"/>
              <w:marRight w:val="0"/>
              <w:marTop w:val="0"/>
              <w:marBottom w:val="0"/>
              <w:divBdr>
                <w:top w:val="none" w:sz="0" w:space="0" w:color="auto"/>
                <w:left w:val="none" w:sz="0" w:space="0" w:color="auto"/>
                <w:bottom w:val="none" w:sz="0" w:space="0" w:color="auto"/>
                <w:right w:val="none" w:sz="0" w:space="0" w:color="auto"/>
              </w:divBdr>
            </w:div>
          </w:divsChild>
        </w:div>
        <w:div w:id="843982707">
          <w:marLeft w:val="0"/>
          <w:marRight w:val="0"/>
          <w:marTop w:val="0"/>
          <w:marBottom w:val="0"/>
          <w:divBdr>
            <w:top w:val="none" w:sz="0" w:space="0" w:color="auto"/>
            <w:left w:val="none" w:sz="0" w:space="0" w:color="auto"/>
            <w:bottom w:val="none" w:sz="0" w:space="0" w:color="auto"/>
            <w:right w:val="none" w:sz="0" w:space="0" w:color="auto"/>
          </w:divBdr>
        </w:div>
        <w:div w:id="843982708">
          <w:marLeft w:val="0"/>
          <w:marRight w:val="0"/>
          <w:marTop w:val="0"/>
          <w:marBottom w:val="0"/>
          <w:divBdr>
            <w:top w:val="none" w:sz="0" w:space="0" w:color="auto"/>
            <w:left w:val="none" w:sz="0" w:space="0" w:color="auto"/>
            <w:bottom w:val="none" w:sz="0" w:space="0" w:color="auto"/>
            <w:right w:val="none" w:sz="0" w:space="0" w:color="auto"/>
          </w:divBdr>
          <w:divsChild>
            <w:div w:id="843982711">
              <w:marLeft w:val="0"/>
              <w:marRight w:val="0"/>
              <w:marTop w:val="0"/>
              <w:marBottom w:val="0"/>
              <w:divBdr>
                <w:top w:val="none" w:sz="0" w:space="0" w:color="auto"/>
                <w:left w:val="none" w:sz="0" w:space="0" w:color="auto"/>
                <w:bottom w:val="none" w:sz="0" w:space="0" w:color="auto"/>
                <w:right w:val="none" w:sz="0" w:space="0" w:color="auto"/>
              </w:divBdr>
            </w:div>
          </w:divsChild>
        </w:div>
        <w:div w:id="843982709">
          <w:marLeft w:val="0"/>
          <w:marRight w:val="0"/>
          <w:marTop w:val="0"/>
          <w:marBottom w:val="0"/>
          <w:divBdr>
            <w:top w:val="none" w:sz="0" w:space="0" w:color="auto"/>
            <w:left w:val="none" w:sz="0" w:space="0" w:color="auto"/>
            <w:bottom w:val="none" w:sz="0" w:space="0" w:color="auto"/>
            <w:right w:val="none" w:sz="0" w:space="0" w:color="auto"/>
          </w:divBdr>
          <w:divsChild>
            <w:div w:id="843982704">
              <w:marLeft w:val="0"/>
              <w:marRight w:val="0"/>
              <w:marTop w:val="0"/>
              <w:marBottom w:val="0"/>
              <w:divBdr>
                <w:top w:val="none" w:sz="0" w:space="0" w:color="auto"/>
                <w:left w:val="none" w:sz="0" w:space="0" w:color="auto"/>
                <w:bottom w:val="none" w:sz="0" w:space="0" w:color="auto"/>
                <w:right w:val="none" w:sz="0" w:space="0" w:color="auto"/>
              </w:divBdr>
            </w:div>
            <w:div w:id="843982710">
              <w:marLeft w:val="0"/>
              <w:marRight w:val="0"/>
              <w:marTop w:val="0"/>
              <w:marBottom w:val="0"/>
              <w:divBdr>
                <w:top w:val="none" w:sz="0" w:space="0" w:color="auto"/>
                <w:left w:val="none" w:sz="0" w:space="0" w:color="auto"/>
                <w:bottom w:val="none" w:sz="0" w:space="0" w:color="auto"/>
                <w:right w:val="none" w:sz="0" w:space="0" w:color="auto"/>
              </w:divBdr>
              <w:divsChild>
                <w:div w:id="8439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tsee-zeitung.de/Nachrichten/Politik/Bundestagsgutachten-Festsetzung-des-iranischen-Tankers-Grace-1-vor-Gibraltar-war-voelkerrechtswidrig" TargetMode="External"/><Relationship Id="rId4" Type="http://schemas.openxmlformats.org/officeDocument/2006/relationships/hyperlink" Target="https://www.ostsee-zeitung.de/Nachrichten/Politik/Bericht-Gibraltar-gibt-Supertanker-mit-iranischem-Oel-fr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459</Words>
  <Characters>2897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Großbritanniens Beschlagnahmung des iranischen Tankers vor Gibraltar </dc:title>
  <dc:subject/>
  <dc:creator>anna.demok@outlook.de</dc:creator>
  <cp:keywords/>
  <dc:description/>
  <cp:lastModifiedBy>moomoojost</cp:lastModifiedBy>
  <cp:revision>2</cp:revision>
  <dcterms:created xsi:type="dcterms:W3CDTF">2019-09-04T15:13:00Z</dcterms:created>
  <dcterms:modified xsi:type="dcterms:W3CDTF">2019-09-04T15:13:00Z</dcterms:modified>
</cp:coreProperties>
</file>